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9ACD15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60FD0">
        <w:rPr>
          <w:rFonts w:asciiTheme="minorHAnsi" w:hAnsiTheme="minorHAnsi" w:cstheme="minorHAnsi"/>
          <w:color w:val="004D74"/>
          <w:sz w:val="28"/>
          <w:szCs w:val="28"/>
          <w:lang w:val="en-US"/>
        </w:rPr>
        <w:t>26</w:t>
      </w:r>
      <w:r w:rsidRPr="00690FD3">
        <w:rPr>
          <w:rFonts w:asciiTheme="minorHAnsi" w:hAnsiTheme="minorHAnsi" w:cstheme="minorHAnsi"/>
          <w:color w:val="004D74"/>
          <w:sz w:val="28"/>
          <w:szCs w:val="28"/>
          <w:lang w:val="en-US"/>
        </w:rPr>
        <w:t xml:space="preserve">. </w:t>
      </w:r>
      <w:r w:rsidR="00B60FD0">
        <w:rPr>
          <w:rFonts w:asciiTheme="minorHAnsi" w:hAnsiTheme="minorHAnsi" w:cstheme="minorHAnsi"/>
          <w:color w:val="004D74"/>
          <w:sz w:val="28"/>
          <w:szCs w:val="28"/>
          <w:lang w:val="en-US"/>
        </w:rPr>
        <w:t>ROSE DES ALPES</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F81ED2"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La brique est cuite à </w:t>
      </w:r>
      <w:smartTag w:uri="urn:schemas-microsoft-com:office:smarttags" w:element="metricconverter">
        <w:smartTagPr>
          <w:attr w:name="ProductID" w:val="1080ﾰC"/>
        </w:smartTagPr>
        <w:r w:rsidR="0006119C" w:rsidRPr="0006119C">
          <w:rPr>
            <w:rFonts w:cs="Arial"/>
            <w:szCs w:val="20"/>
            <w:lang w:val="fr-FR"/>
          </w:rPr>
          <w:t>1080°C</w:t>
        </w:r>
      </w:smartTag>
      <w:r w:rsidR="0006119C" w:rsidRPr="0006119C">
        <w:rPr>
          <w:rFonts w:cs="Arial"/>
          <w:szCs w:val="20"/>
          <w:lang w:val="fr-FR"/>
        </w:rPr>
        <w:t xml:space="preserve"> dans une atmosphère oxydante.</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110FFB">
        <w:rPr>
          <w:rFonts w:cs="Arial"/>
          <w:szCs w:val="20"/>
          <w:lang w:val="en-US"/>
        </w:rPr>
        <w:t xml:space="preserve"> jaune</w:t>
      </w:r>
    </w:p>
    <w:p w14:paraId="54AA7122" w14:textId="1AD3C92B"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110FFB">
        <w:rPr>
          <w:rFonts w:cs="Arial"/>
          <w:szCs w:val="20"/>
          <w:lang w:val="en-US"/>
        </w:rPr>
        <w:t xml:space="preserve">jaune-pourpre </w:t>
      </w:r>
      <w:r w:rsidR="00A1742A" w:rsidRPr="00A1742A">
        <w:rPr>
          <w:rFonts w:cs="Arial"/>
          <w:szCs w:val="20"/>
          <w:lang w:val="en-US"/>
        </w:rPr>
        <w:t xml:space="preserve">avec des nuances </w:t>
      </w:r>
      <w:r w:rsidR="00110FFB">
        <w:rPr>
          <w:rFonts w:cs="Arial"/>
          <w:szCs w:val="20"/>
          <w:lang w:val="en-US"/>
        </w:rPr>
        <w:t>foncées</w:t>
      </w:r>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bookmarkStart w:id="1" w:name="_GoBack"/>
      <w:bookmarkEnd w:id="1"/>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C66D78" w:rsidRDefault="00B7007A" w:rsidP="00C66D78">
      <w:pPr>
        <w:rPr>
          <w:rFonts w:cs="Arial"/>
          <w:szCs w:val="20"/>
        </w:rPr>
      </w:pPr>
      <w:r>
        <w:rPr>
          <w:rFonts w:cs="Arial"/>
          <w:szCs w:val="20"/>
        </w:rPr>
        <w:t xml:space="preserve">Critères de performance essentielles selon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 non imprégnée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r>
        <w:rPr>
          <w:rFonts w:cs="Arial"/>
          <w:szCs w:val="20"/>
        </w:rPr>
        <w:t>taux initial d’absorption d’eau de la brique imprégnée</w:t>
      </w:r>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W/m.K</w:t>
      </w:r>
    </w:p>
    <w:p w14:paraId="23623C20" w14:textId="0EB53F72"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W/m.K</w:t>
      </w:r>
    </w:p>
    <w:p w14:paraId="0AA96508" w14:textId="19834FD7"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6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51C55B7B-AE97-48C6-855C-556E88EAF627}"/>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4054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2020-04-30T07:19:00Z</dcterms:created>
  <dcterms:modified xsi:type="dcterms:W3CDTF">2020-04-30T07:25:00Z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