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4175EE67"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5D0A6A">
        <w:rPr>
          <w:rFonts w:asciiTheme="minorHAnsi" w:hAnsiTheme="minorHAnsi" w:cstheme="minorHAnsi"/>
          <w:color w:val="004D74"/>
          <w:sz w:val="28"/>
          <w:szCs w:val="28"/>
          <w:lang w:val="en-US"/>
        </w:rPr>
        <w:t>45</w:t>
      </w:r>
      <w:r w:rsidRPr="00690FD3">
        <w:rPr>
          <w:rFonts w:asciiTheme="minorHAnsi" w:hAnsiTheme="minorHAnsi" w:cstheme="minorHAnsi"/>
          <w:color w:val="004D74"/>
          <w:sz w:val="28"/>
          <w:szCs w:val="28"/>
          <w:lang w:val="en-US"/>
        </w:rPr>
        <w:t xml:space="preserve">. </w:t>
      </w:r>
      <w:r w:rsidR="005D0A6A">
        <w:rPr>
          <w:rFonts w:asciiTheme="minorHAnsi" w:hAnsiTheme="minorHAnsi" w:cstheme="minorHAnsi"/>
          <w:color w:val="004D74"/>
          <w:sz w:val="28"/>
          <w:szCs w:val="28"/>
          <w:lang w:val="en-US"/>
        </w:rPr>
        <w:t>LI</w:t>
      </w:r>
      <w:r w:rsidR="00886F40">
        <w:rPr>
          <w:rFonts w:asciiTheme="minorHAnsi" w:hAnsiTheme="minorHAnsi" w:cstheme="minorHAnsi"/>
          <w:color w:val="004D74"/>
          <w:sz w:val="28"/>
          <w:szCs w:val="28"/>
          <w:lang w:val="en-US"/>
        </w:rPr>
        <w:t>VORNO</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Ce texte a été établi conformément à la structure et le style d</w:t>
      </w:r>
      <w:r w:rsidR="00C239CD">
        <w:rPr>
          <w:rFonts w:cs="Arial"/>
          <w:i/>
          <w:szCs w:val="20"/>
          <w:lang w:val="en-US"/>
        </w:rPr>
        <w:t>u</w:t>
      </w:r>
      <w:r w:rsidRPr="00F144D2">
        <w:rPr>
          <w:rFonts w:cs="Arial"/>
          <w:i/>
          <w:szCs w:val="20"/>
          <w:lang w:val="en-US"/>
        </w:rPr>
        <w:t xml:space="preserve"> cahiers des charges de la Société Wallonne du </w:t>
      </w:r>
      <w:r>
        <w:rPr>
          <w:rFonts w:cs="Arial"/>
          <w:i/>
          <w:szCs w:val="20"/>
          <w:lang w:val="en-US"/>
        </w:rPr>
        <w:t>L</w:t>
      </w:r>
      <w:r w:rsidRPr="00F144D2">
        <w:rPr>
          <w:rFonts w:cs="Arial"/>
          <w:i/>
          <w:szCs w:val="20"/>
          <w:lang w:val="en-US"/>
        </w:rPr>
        <w:t>ogement (SWL) et de la Société Public de Wallonie (</w:t>
      </w:r>
      <w:r w:rsidR="00FA5727">
        <w:rPr>
          <w:rFonts w:cs="Arial"/>
          <w:i/>
          <w:szCs w:val="20"/>
          <w:lang w:val="en-US"/>
        </w:rPr>
        <w:t xml:space="preserve">SPW / </w:t>
      </w:r>
      <w:r w:rsidRPr="00F144D2">
        <w:rPr>
          <w:rFonts w:cs="Arial"/>
          <w:i/>
          <w:szCs w:val="20"/>
          <w:lang w:val="en-US"/>
        </w:rPr>
        <w:t>CCT-Bâtiments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r w:rsidRPr="00F144D2">
        <w:rPr>
          <w:rFonts w:cs="Arial"/>
          <w:i/>
          <w:szCs w:val="20"/>
          <w:lang w:val="en-US"/>
        </w:rPr>
        <w:t>peut y être intégré, respectivement dans les rubriques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r w:rsidRPr="00C239CD">
        <w:rPr>
          <w:rFonts w:cs="Arial"/>
          <w:b/>
          <w:szCs w:val="20"/>
          <w:u w:val="single"/>
          <w:lang w:val="nl-BE"/>
        </w:rPr>
        <w:t>Matériau</w:t>
      </w:r>
    </w:p>
    <w:p w14:paraId="16D4B191" w14:textId="7CE77EDE" w:rsidR="00C66D78" w:rsidRPr="00C239CD" w:rsidRDefault="0006119C" w:rsidP="00C66D78">
      <w:pPr>
        <w:rPr>
          <w:rFonts w:cs="Arial"/>
          <w:szCs w:val="20"/>
          <w:lang w:val="nl-BE"/>
        </w:rPr>
      </w:pPr>
      <w:r w:rsidRPr="00C239CD">
        <w:rPr>
          <w:rFonts w:cs="Arial"/>
          <w:szCs w:val="20"/>
          <w:u w:val="single"/>
          <w:lang w:val="nl-BE"/>
        </w:rPr>
        <w:t>Type de produit</w:t>
      </w:r>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r w:rsidRPr="00A1742A">
        <w:rPr>
          <w:rFonts w:cs="Arial"/>
          <w:szCs w:val="20"/>
          <w:lang w:val="en-US"/>
        </w:rPr>
        <w:t>maçonnerie décorative non portante</w:t>
      </w:r>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58FD3D9" w:rsidR="00C66D78" w:rsidRDefault="00F2007B" w:rsidP="00C66D78">
      <w:pPr>
        <w:rPr>
          <w:rFonts w:cs="Arial"/>
          <w:szCs w:val="20"/>
          <w:lang w:val="fr-FR"/>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94AFA">
        <w:rPr>
          <w:rFonts w:cs="Arial"/>
          <w:szCs w:val="20"/>
          <w:lang w:val="fr-FR"/>
        </w:rPr>
        <w:t>, e.a.de</w:t>
      </w:r>
      <w:r w:rsidR="00690FD3">
        <w:rPr>
          <w:rFonts w:cs="Arial"/>
          <w:szCs w:val="20"/>
          <w:lang w:val="fr-FR"/>
        </w:rPr>
        <w:t xml:space="preserv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Kleine-Spouwen,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1CEE28E8" w:rsidR="00A1742A" w:rsidRPr="00A1742A" w:rsidRDefault="00A1742A" w:rsidP="00A1742A">
      <w:pPr>
        <w:rPr>
          <w:rFonts w:cs="Arial"/>
          <w:szCs w:val="20"/>
          <w:lang w:val="fr-FR"/>
        </w:rPr>
      </w:pPr>
      <w:r w:rsidRPr="00A1742A">
        <w:rPr>
          <w:rFonts w:cs="Arial"/>
          <w:szCs w:val="20"/>
          <w:lang w:val="fr-FR"/>
        </w:rPr>
        <w:t xml:space="preserve">Apparence: </w:t>
      </w:r>
      <w:r w:rsidR="001479CA">
        <w:rPr>
          <w:rFonts w:cs="Arial"/>
          <w:szCs w:val="20"/>
          <w:lang w:val="fr-FR"/>
        </w:rPr>
        <w:t>nuancée</w:t>
      </w:r>
    </w:p>
    <w:p w14:paraId="7E3ECFB4" w14:textId="6E1BBBD0"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Couleur principale</w:t>
      </w:r>
      <w:r w:rsidR="00C66D78" w:rsidRPr="00690FD3">
        <w:rPr>
          <w:rFonts w:cs="Arial"/>
          <w:szCs w:val="20"/>
          <w:lang w:val="en-US"/>
        </w:rPr>
        <w:t xml:space="preserve">: </w:t>
      </w:r>
      <w:r w:rsidR="00886F40">
        <w:rPr>
          <w:rFonts w:cs="Arial"/>
          <w:szCs w:val="20"/>
          <w:lang w:val="en-US"/>
        </w:rPr>
        <w:t>noir</w:t>
      </w:r>
    </w:p>
    <w:p w14:paraId="54AA7122" w14:textId="2BDD977D"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r w:rsidR="00886F40">
        <w:rPr>
          <w:rFonts w:cs="Arial"/>
          <w:szCs w:val="20"/>
          <w:lang w:val="en-US"/>
        </w:rPr>
        <w:t xml:space="preserve">anthracite </w:t>
      </w:r>
      <w:r w:rsidR="001479CA">
        <w:rPr>
          <w:rFonts w:cs="Arial"/>
          <w:szCs w:val="20"/>
          <w:lang w:val="en-US"/>
        </w:rPr>
        <w:t>avec</w:t>
      </w:r>
      <w:r w:rsidR="00886F40">
        <w:rPr>
          <w:rFonts w:cs="Arial"/>
          <w:szCs w:val="20"/>
          <w:lang w:val="en-US"/>
        </w:rPr>
        <w:t xml:space="preserve"> une</w:t>
      </w:r>
      <w:r w:rsidR="001479CA">
        <w:rPr>
          <w:rFonts w:cs="Arial"/>
          <w:szCs w:val="20"/>
          <w:lang w:val="en-US"/>
        </w:rPr>
        <w:t xml:space="preserve"> nuance de </w:t>
      </w:r>
      <w:r w:rsidR="00886F40">
        <w:rPr>
          <w:rFonts w:cs="Arial"/>
          <w:szCs w:val="20"/>
          <w:lang w:val="en-US"/>
        </w:rPr>
        <w:t>bleu-noir</w:t>
      </w:r>
    </w:p>
    <w:p w14:paraId="51FBA4AC" w14:textId="44BD7586" w:rsidR="005D0A6A"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de la brique</w:t>
      </w:r>
      <w:r w:rsidR="00F87F9A" w:rsidRPr="00690FD3">
        <w:rPr>
          <w:rFonts w:cs="Arial"/>
          <w:szCs w:val="20"/>
          <w:lang w:val="en-US"/>
        </w:rPr>
        <w:t xml:space="preserve"> (Lx</w:t>
      </w:r>
      <w:r w:rsidR="00A1742A" w:rsidRPr="00690FD3">
        <w:rPr>
          <w:rFonts w:cs="Arial"/>
          <w:szCs w:val="20"/>
          <w:lang w:val="en-US"/>
        </w:rPr>
        <w:t>P</w:t>
      </w:r>
      <w:r w:rsidR="00F87F9A" w:rsidRPr="00690FD3">
        <w:rPr>
          <w:rFonts w:cs="Arial"/>
          <w:szCs w:val="20"/>
          <w:lang w:val="en-US"/>
        </w:rPr>
        <w:t>xH)</w:t>
      </w:r>
      <w:r w:rsidRPr="00690FD3">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w:t>
      </w:r>
      <w:r w:rsidR="009F33B0">
        <w:rPr>
          <w:rFonts w:cs="Arial"/>
          <w:szCs w:val="20"/>
          <w:lang w:val="en-US"/>
        </w:rPr>
        <w:t>50</w:t>
      </w:r>
      <w:bookmarkStart w:id="1" w:name="_GoBack"/>
      <w:bookmarkEnd w:id="1"/>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C94AFA">
        <w:rPr>
          <w:rFonts w:cs="Arial"/>
          <w:szCs w:val="20"/>
          <w:lang w:val="en-US"/>
        </w:rPr>
        <w:t xml:space="preserve">/ </w:t>
      </w:r>
      <w:r w:rsidR="00C94AFA" w:rsidRPr="00A1742A">
        <w:rPr>
          <w:rFonts w:cs="Arial"/>
          <w:szCs w:val="20"/>
          <w:lang w:val="en-US"/>
        </w:rPr>
        <w:t>DF (± 21</w:t>
      </w:r>
      <w:r w:rsidR="00C94AFA">
        <w:rPr>
          <w:rFonts w:cs="Arial"/>
          <w:szCs w:val="20"/>
          <w:lang w:val="en-US"/>
        </w:rPr>
        <w:t>5</w:t>
      </w:r>
      <w:r w:rsidR="00C94AFA" w:rsidRPr="00A1742A">
        <w:rPr>
          <w:rFonts w:cs="Arial"/>
          <w:szCs w:val="20"/>
          <w:lang w:val="en-US"/>
        </w:rPr>
        <w:t xml:space="preserve"> x 100 x 65 mm)</w:t>
      </w:r>
    </w:p>
    <w:p w14:paraId="401EA02E" w14:textId="555B38FE" w:rsidR="006C395E" w:rsidRPr="006B1E28" w:rsidRDefault="00325A04" w:rsidP="006B1E28">
      <w:pPr>
        <w:spacing w:line="240" w:lineRule="auto"/>
        <w:rPr>
          <w:rFonts w:cs="Arial"/>
          <w:szCs w:val="20"/>
          <w:lang w:val="en-US"/>
        </w:rPr>
      </w:pPr>
      <w:r w:rsidRPr="00A1742A">
        <w:rPr>
          <w:rFonts w:cs="Arial"/>
          <w:i/>
          <w:szCs w:val="20"/>
          <w:lang w:val="en-US"/>
        </w:rPr>
        <w:t>(s</w:t>
      </w:r>
      <w:r w:rsidR="00A1742A" w:rsidRPr="00A1742A">
        <w:rPr>
          <w:rFonts w:cs="Arial"/>
          <w:i/>
          <w:szCs w:val="20"/>
          <w:lang w:val="en-US"/>
        </w:rPr>
        <w:t>upprimer ce qui ne convient</w:t>
      </w:r>
      <w:r w:rsidR="00A1742A">
        <w:rPr>
          <w:rFonts w:cs="Arial"/>
          <w:i/>
          <w:szCs w:val="20"/>
          <w:lang w:val="en-US"/>
        </w:rPr>
        <w:t xml:space="preserve"> pas</w:t>
      </w:r>
      <w:r w:rsidRPr="00A1742A">
        <w:rPr>
          <w:rFonts w:cs="Arial"/>
          <w:i/>
          <w:szCs w:val="20"/>
          <w:lang w:val="en-US"/>
        </w:rPr>
        <w:t>)</w:t>
      </w:r>
    </w:p>
    <w:p w14:paraId="3054B54B" w14:textId="282EA02E" w:rsidR="00C66D78" w:rsidRPr="00C66D78" w:rsidRDefault="00B7007A" w:rsidP="00C66D78">
      <w:pPr>
        <w:rPr>
          <w:rFonts w:cs="Arial"/>
          <w:szCs w:val="20"/>
        </w:rPr>
      </w:pPr>
      <w:r>
        <w:rPr>
          <w:rFonts w:cs="Arial"/>
          <w:szCs w:val="20"/>
        </w:rPr>
        <w:t xml:space="preserve">Critères de performance essentielles selon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moyenne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r>
        <w:rPr>
          <w:rFonts w:cs="Arial"/>
          <w:szCs w:val="20"/>
        </w:rPr>
        <w:t>stabilité dimensionnelle</w:t>
      </w:r>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r w:rsidRPr="00B7007A">
        <w:rPr>
          <w:rFonts w:cs="Arial"/>
          <w:szCs w:val="20"/>
          <w:lang w:val="en-US"/>
        </w:rPr>
        <w:t>réaction au feu</w:t>
      </w:r>
      <w:r w:rsidR="00C66D78" w:rsidRPr="00B7007A">
        <w:rPr>
          <w:rFonts w:cs="Arial"/>
          <w:szCs w:val="20"/>
          <w:lang w:val="en-US"/>
        </w:rPr>
        <w:t>:</w:t>
      </w:r>
      <w:r>
        <w:rPr>
          <w:rFonts w:cs="Arial"/>
          <w:szCs w:val="20"/>
          <w:lang w:val="en-US"/>
        </w:rPr>
        <w:t xml:space="preserve"> C</w:t>
      </w:r>
      <w:r w:rsidR="00C66D78" w:rsidRPr="00B7007A">
        <w:rPr>
          <w:rFonts w:cs="Arial"/>
          <w:szCs w:val="20"/>
          <w:lang w:val="en-US"/>
        </w:rPr>
        <w:t xml:space="preserve">lasse A1 </w:t>
      </w:r>
    </w:p>
    <w:p w14:paraId="6CEB0EF4" w14:textId="239A9BD3" w:rsidR="00C66D78" w:rsidRPr="00B1542E" w:rsidRDefault="00B7007A" w:rsidP="00B1542E">
      <w:pPr>
        <w:pStyle w:val="Lijstalinea"/>
        <w:numPr>
          <w:ilvl w:val="0"/>
          <w:numId w:val="2"/>
        </w:numPr>
        <w:rPr>
          <w:rFonts w:cs="Arial"/>
          <w:szCs w:val="20"/>
        </w:rPr>
      </w:pPr>
      <w:r>
        <w:rPr>
          <w:rFonts w:cs="Arial"/>
          <w:szCs w:val="20"/>
        </w:rPr>
        <w:t>résistance au gel/dégel</w:t>
      </w:r>
      <w:r w:rsidR="00C66D78" w:rsidRPr="00B1542E">
        <w:rPr>
          <w:rFonts w:cs="Arial"/>
          <w:szCs w:val="20"/>
        </w:rPr>
        <w:t>: F2</w:t>
      </w:r>
      <w:r w:rsidR="00B1542E" w:rsidRPr="00B1542E">
        <w:rPr>
          <w:rFonts w:cs="Arial"/>
          <w:szCs w:val="20"/>
        </w:rPr>
        <w:t xml:space="preserve"> </w:t>
      </w:r>
    </w:p>
    <w:p w14:paraId="10A995C3" w14:textId="515A86ED" w:rsidR="00C66D78" w:rsidRPr="00B1542E" w:rsidRDefault="00B7007A" w:rsidP="00B1542E">
      <w:pPr>
        <w:pStyle w:val="Lijstalinea"/>
        <w:numPr>
          <w:ilvl w:val="0"/>
          <w:numId w:val="2"/>
        </w:numPr>
        <w:rPr>
          <w:rFonts w:cs="Arial"/>
          <w:szCs w:val="20"/>
        </w:rPr>
      </w:pPr>
      <w:r>
        <w:rPr>
          <w:rFonts w:cs="Arial"/>
          <w:szCs w:val="20"/>
        </w:rPr>
        <w:t>absorption d’eau:</w:t>
      </w:r>
      <w:r w:rsidR="00C66D78" w:rsidRPr="00B1542E">
        <w:rPr>
          <w:rFonts w:cs="Arial"/>
          <w:szCs w:val="20"/>
        </w:rPr>
        <w:t xml:space="preserve"> ≤ </w:t>
      </w:r>
      <w:r w:rsidR="001479CA">
        <w:rPr>
          <w:rFonts w:cs="Arial"/>
          <w:szCs w:val="20"/>
        </w:rPr>
        <w:t>1</w:t>
      </w:r>
      <w:r w:rsidR="00886F40">
        <w:rPr>
          <w:rFonts w:cs="Arial"/>
          <w:szCs w:val="20"/>
        </w:rPr>
        <w:t>0</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5C1B3F1F" w:rsidR="00C66D78" w:rsidRPr="00B1542E" w:rsidRDefault="00B7007A" w:rsidP="00B1542E">
      <w:pPr>
        <w:pStyle w:val="Lijstalinea"/>
        <w:numPr>
          <w:ilvl w:val="0"/>
          <w:numId w:val="2"/>
        </w:numPr>
        <w:rPr>
          <w:rFonts w:cs="Arial"/>
          <w:szCs w:val="20"/>
        </w:rPr>
      </w:pPr>
      <w:r>
        <w:rPr>
          <w:rFonts w:cs="Arial"/>
          <w:szCs w:val="20"/>
        </w:rPr>
        <w:t>perméabilité à la vapeur d’eau</w:t>
      </w:r>
      <w:r w:rsidR="00C66D78" w:rsidRPr="00B1542E">
        <w:rPr>
          <w:rFonts w:cs="Arial"/>
          <w:szCs w:val="20"/>
        </w:rPr>
        <w:t>: 5</w:t>
      </w:r>
      <w:r w:rsidR="00886F40">
        <w:rPr>
          <w:rFonts w:cs="Arial"/>
          <w:szCs w:val="20"/>
        </w:rPr>
        <w:t>0</w:t>
      </w:r>
      <w:r w:rsidR="00C66D78" w:rsidRPr="00B1542E">
        <w:rPr>
          <w:rFonts w:cs="Arial"/>
          <w:szCs w:val="20"/>
        </w:rPr>
        <w:t>/1</w:t>
      </w:r>
      <w:r w:rsidR="00886F40">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teneur en sels solubles actifs</w:t>
      </w:r>
      <w:r w:rsidR="00C66D78" w:rsidRPr="00B1542E">
        <w:rPr>
          <w:rFonts w:cs="Arial"/>
          <w:szCs w:val="20"/>
        </w:rPr>
        <w:t xml:space="preserve">: S2 </w:t>
      </w:r>
    </w:p>
    <w:p w14:paraId="47EE9F44" w14:textId="09CA95E0" w:rsidR="009563D7" w:rsidRPr="00A447DC" w:rsidRDefault="00B7007A" w:rsidP="009563D7">
      <w:pPr>
        <w:pStyle w:val="Lijstalinea"/>
        <w:numPr>
          <w:ilvl w:val="0"/>
          <w:numId w:val="2"/>
        </w:numPr>
        <w:rPr>
          <w:rFonts w:cs="Arial"/>
          <w:szCs w:val="20"/>
          <w:lang w:val="en-US"/>
        </w:rPr>
      </w:pPr>
      <w:r w:rsidRPr="00A447DC">
        <w:rPr>
          <w:rFonts w:cs="Arial"/>
          <w:szCs w:val="20"/>
          <w:lang w:val="en-US"/>
        </w:rPr>
        <w:t>conductivité thermique équivalente</w:t>
      </w:r>
      <w:r w:rsidR="00C66D78" w:rsidRPr="00A447DC">
        <w:rPr>
          <w:rFonts w:cs="Arial"/>
          <w:szCs w:val="20"/>
          <w:lang w:val="en-US"/>
        </w:rPr>
        <w:t xml:space="preserve">: </w:t>
      </w:r>
      <w:r w:rsidR="009563D7" w:rsidRPr="00A447DC">
        <w:rPr>
          <w:rFonts w:cs="Arial"/>
          <w:szCs w:val="20"/>
          <w:lang w:val="en-US"/>
        </w:rPr>
        <w:t>0,</w:t>
      </w:r>
      <w:r w:rsidR="00886F40">
        <w:rPr>
          <w:rFonts w:cs="Arial"/>
          <w:szCs w:val="20"/>
          <w:lang w:val="en-US"/>
        </w:rPr>
        <w:t>60</w:t>
      </w:r>
      <w:r w:rsidR="009563D7" w:rsidRPr="00A447DC">
        <w:rPr>
          <w:rFonts w:cs="Arial"/>
          <w:szCs w:val="20"/>
          <w:lang w:val="en-US"/>
        </w:rPr>
        <w:t xml:space="preserve"> W/m</w:t>
      </w:r>
      <w:r w:rsidR="0083729C">
        <w:rPr>
          <w:rFonts w:cs="Arial"/>
          <w:szCs w:val="20"/>
          <w:lang w:val="en-US"/>
        </w:rPr>
        <w:t>.</w:t>
      </w:r>
      <w:r w:rsidR="009563D7" w:rsidRPr="00A447DC">
        <w:rPr>
          <w:rFonts w:cs="Arial"/>
          <w:szCs w:val="20"/>
          <w:lang w:val="en-US"/>
        </w:rPr>
        <w:t>K</w:t>
      </w:r>
    </w:p>
    <w:p w14:paraId="6B7522B0" w14:textId="7DF47FE9" w:rsidR="009563D7" w:rsidRPr="00FA5727" w:rsidRDefault="00A447DC" w:rsidP="009563D7">
      <w:pPr>
        <w:rPr>
          <w:rFonts w:cs="Arial"/>
          <w:szCs w:val="20"/>
          <w:u w:val="single"/>
        </w:rPr>
      </w:pPr>
      <w:r w:rsidRPr="00FA5727">
        <w:rPr>
          <w:rFonts w:cs="Arial"/>
          <w:szCs w:val="20"/>
          <w:u w:val="single"/>
        </w:rPr>
        <w:t>Autres caractéristiques</w:t>
      </w:r>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r>
        <w:rPr>
          <w:rFonts w:cs="Arial"/>
          <w:szCs w:val="20"/>
        </w:rPr>
        <w:t>taux initial d’absorption d’eau de la brique non imprégnée</w:t>
      </w:r>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4EBBBA8D" w:rsidR="00FA5727" w:rsidRDefault="00FA5727" w:rsidP="00FA5727">
      <w:pPr>
        <w:pStyle w:val="Lijstalinea"/>
        <w:numPr>
          <w:ilvl w:val="0"/>
          <w:numId w:val="2"/>
        </w:numPr>
        <w:spacing w:line="240" w:lineRule="auto"/>
        <w:rPr>
          <w:rFonts w:cs="Arial"/>
          <w:szCs w:val="20"/>
        </w:rPr>
      </w:pPr>
      <w:r>
        <w:rPr>
          <w:rFonts w:cs="Arial"/>
          <w:szCs w:val="20"/>
        </w:rPr>
        <w:t>taux initial d’absorption d’eau de la brique imprégnée</w:t>
      </w:r>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12F08CEA" w14:textId="77777777" w:rsidR="00C94AFA" w:rsidRPr="00FA5727" w:rsidRDefault="00C94AFA" w:rsidP="00C94AFA">
      <w:pPr>
        <w:pStyle w:val="Lijstalinea"/>
        <w:spacing w:line="240" w:lineRule="auto"/>
        <w:ind w:left="720"/>
        <w:rPr>
          <w:rFonts w:cs="Arial"/>
          <w:szCs w:val="20"/>
        </w:rPr>
      </w:pPr>
    </w:p>
    <w:p w14:paraId="68626FA7" w14:textId="43B9D2A7" w:rsidR="009563D7" w:rsidRPr="00A447DC" w:rsidRDefault="00A447DC" w:rsidP="009563D7">
      <w:pPr>
        <w:pStyle w:val="Lijstalinea"/>
        <w:numPr>
          <w:ilvl w:val="0"/>
          <w:numId w:val="2"/>
        </w:numPr>
        <w:rPr>
          <w:rFonts w:cs="Arial"/>
          <w:szCs w:val="20"/>
          <w:lang w:val="en-US"/>
        </w:rPr>
      </w:pPr>
      <w:r w:rsidRPr="00A447DC">
        <w:rPr>
          <w:rFonts w:cs="Arial"/>
          <w:szCs w:val="20"/>
          <w:lang w:val="en-US"/>
        </w:rPr>
        <w:lastRenderedPageBreak/>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(90,90): 0,</w:t>
      </w:r>
      <w:r w:rsidR="00CD579C" w:rsidRPr="00A447DC">
        <w:rPr>
          <w:rFonts w:cs="Arial"/>
          <w:szCs w:val="20"/>
          <w:lang w:val="en-US"/>
        </w:rPr>
        <w:t>6</w:t>
      </w:r>
      <w:r w:rsidR="00886F40">
        <w:rPr>
          <w:rFonts w:cs="Arial"/>
          <w:szCs w:val="20"/>
          <w:lang w:val="en-US"/>
        </w:rPr>
        <w:t>5</w:t>
      </w:r>
      <w:r w:rsidR="009563D7" w:rsidRPr="00A447DC">
        <w:rPr>
          <w:rFonts w:cs="Arial"/>
          <w:szCs w:val="20"/>
          <w:lang w:val="en-US"/>
        </w:rPr>
        <w:t xml:space="preserve"> W/m.K</w:t>
      </w:r>
    </w:p>
    <w:p w14:paraId="23623C20" w14:textId="27FEAC4A" w:rsidR="009563D7" w:rsidRPr="00A447DC" w:rsidRDefault="00A447DC" w:rsidP="009563D7">
      <w:pPr>
        <w:pStyle w:val="Lijstalinea"/>
        <w:numPr>
          <w:ilvl w:val="0"/>
          <w:numId w:val="2"/>
        </w:numPr>
        <w:rPr>
          <w:rFonts w:cs="Arial"/>
          <w:szCs w:val="20"/>
          <w:lang w:val="en-US"/>
        </w:rPr>
      </w:pPr>
      <w:r w:rsidRPr="00A447DC">
        <w:rPr>
          <w:rFonts w:cs="Arial"/>
          <w:szCs w:val="20"/>
          <w:lang w:val="en-US"/>
        </w:rPr>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886F40">
        <w:rPr>
          <w:rFonts w:cs="Arial"/>
          <w:szCs w:val="20"/>
          <w:lang w:val="en-US"/>
        </w:rPr>
        <w:t>97</w:t>
      </w:r>
      <w:r w:rsidR="009563D7" w:rsidRPr="00A447DC">
        <w:rPr>
          <w:rFonts w:cs="Arial"/>
          <w:szCs w:val="20"/>
          <w:lang w:val="en-US"/>
        </w:rPr>
        <w:t xml:space="preserve"> W/m.K</w:t>
      </w:r>
    </w:p>
    <w:p w14:paraId="0AA96508" w14:textId="17FB8C15" w:rsidR="009563D7" w:rsidRPr="001363AB" w:rsidRDefault="001363AB" w:rsidP="009563D7">
      <w:pPr>
        <w:pStyle w:val="Lijstalinea"/>
        <w:numPr>
          <w:ilvl w:val="0"/>
          <w:numId w:val="2"/>
        </w:numPr>
        <w:rPr>
          <w:rFonts w:cs="Arial"/>
          <w:szCs w:val="20"/>
          <w:lang w:val="en-US"/>
        </w:rPr>
      </w:pPr>
      <w:r w:rsidRPr="00A447DC">
        <w:rPr>
          <w:rFonts w:cs="Arial"/>
          <w:szCs w:val="20"/>
          <w:lang w:val="en-US"/>
        </w:rPr>
        <w:t>conductivité thermique équivalente</w:t>
      </w:r>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asse sèche</w:t>
      </w:r>
      <w:r w:rsidR="009563D7" w:rsidRPr="001363AB">
        <w:rPr>
          <w:rFonts w:cs="Arial"/>
          <w:szCs w:val="20"/>
          <w:lang w:val="en-US"/>
        </w:rPr>
        <w:t xml:space="preserve"> (lambda Ue): 1,</w:t>
      </w:r>
      <w:r w:rsidR="00886F40">
        <w:rPr>
          <w:rFonts w:cs="Arial"/>
          <w:szCs w:val="20"/>
          <w:lang w:val="en-US"/>
        </w:rPr>
        <w:t>3</w:t>
      </w:r>
      <w:r w:rsidR="00C94AFA">
        <w:rPr>
          <w:rFonts w:cs="Arial"/>
          <w:szCs w:val="20"/>
          <w:lang w:val="en-US"/>
        </w:rPr>
        <w:t>7</w:t>
      </w:r>
      <w:r w:rsidR="00886F40">
        <w:rPr>
          <w:rFonts w:cs="Arial"/>
          <w:szCs w:val="20"/>
          <w:lang w:val="en-US"/>
        </w:rPr>
        <w:t>6</w:t>
      </w:r>
      <w:r w:rsidR="009563D7" w:rsidRPr="001363AB">
        <w:rPr>
          <w:rFonts w:cs="Arial"/>
          <w:szCs w:val="20"/>
          <w:lang w:val="en-US"/>
        </w:rPr>
        <w:t xml:space="preserve"> W/m.K</w:t>
      </w:r>
    </w:p>
    <w:p w14:paraId="3BDC6FB1" w14:textId="28C88DAA" w:rsidR="00526DD4" w:rsidRPr="00690FD3" w:rsidRDefault="001363AB" w:rsidP="00FE0F71">
      <w:pPr>
        <w:rPr>
          <w:rFonts w:cs="Arial"/>
          <w:szCs w:val="20"/>
          <w:u w:val="single"/>
          <w:lang w:val="en-US"/>
        </w:rPr>
      </w:pPr>
      <w:r w:rsidRPr="00690FD3">
        <w:rPr>
          <w:rFonts w:cs="Arial"/>
          <w:szCs w:val="20"/>
          <w:u w:val="single"/>
          <w:lang w:val="en-US"/>
        </w:rPr>
        <w:t>Caractéristiques d’apparence</w:t>
      </w:r>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r w:rsidRPr="00690FD3">
        <w:rPr>
          <w:rFonts w:cs="Arial"/>
          <w:szCs w:val="20"/>
          <w:u w:val="single"/>
          <w:lang w:val="en-US"/>
        </w:rPr>
        <w:t>Norme</w:t>
      </w:r>
      <w:r w:rsidR="005C29D6" w:rsidRPr="00690FD3">
        <w:rPr>
          <w:rFonts w:cs="Arial"/>
          <w:szCs w:val="20"/>
          <w:u w:val="single"/>
          <w:lang w:val="en-US"/>
        </w:rPr>
        <w:t>s</w:t>
      </w:r>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la décla</w:t>
      </w:r>
      <w:r w:rsidR="00690FD3">
        <w:rPr>
          <w:rFonts w:cs="Arial"/>
          <w:szCs w:val="20"/>
          <w:lang w:val="en-US"/>
        </w:rPr>
        <w:t>r</w:t>
      </w:r>
      <w:r w:rsidRPr="005C29D6">
        <w:rPr>
          <w:rFonts w:cs="Arial"/>
          <w:szCs w:val="20"/>
          <w:lang w:val="en-US"/>
        </w:rPr>
        <w:t>ation des performances</w:t>
      </w:r>
      <w:r w:rsidR="00526DD4" w:rsidRPr="005C29D6">
        <w:rPr>
          <w:rFonts w:cs="Arial"/>
          <w:szCs w:val="20"/>
          <w:lang w:val="en-US"/>
        </w:rPr>
        <w:t xml:space="preserve"> DoP</w:t>
      </w:r>
      <w:r w:rsidRPr="005C29D6">
        <w:rPr>
          <w:rFonts w:cs="Arial"/>
          <w:szCs w:val="20"/>
          <w:lang w:val="en-US"/>
        </w:rPr>
        <w:t>, en conformité avec la norme</w:t>
      </w:r>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DoP </w:t>
      </w:r>
      <w:r w:rsidRPr="005C29D6">
        <w:rPr>
          <w:rFonts w:cs="Arial"/>
          <w:szCs w:val="20"/>
          <w:lang w:val="en-US"/>
        </w:rPr>
        <w:t>est disponible sur la page internet de la brique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r w:rsidR="007F2F9B">
        <w:rPr>
          <w:rFonts w:cs="Arial"/>
          <w:szCs w:val="20"/>
          <w:lang w:val="en-US"/>
        </w:rPr>
        <w:t>peut être</w:t>
      </w:r>
      <w:r w:rsidR="00FA5727">
        <w:rPr>
          <w:rFonts w:cs="Arial"/>
          <w:szCs w:val="20"/>
          <w:lang w:val="en-US"/>
        </w:rPr>
        <w:t xml:space="preserve"> retrouv</w:t>
      </w:r>
      <w:r w:rsidR="007F2F9B">
        <w:rPr>
          <w:rFonts w:cs="Arial"/>
          <w:szCs w:val="20"/>
          <w:lang w:val="en-US"/>
        </w:rPr>
        <w:t>ée</w:t>
      </w:r>
      <w:r w:rsidR="00FA5727">
        <w:rPr>
          <w:rFonts w:cs="Arial"/>
          <w:szCs w:val="20"/>
          <w:lang w:val="en-US"/>
        </w:rPr>
        <w:t xml:space="preserve"> par le numéro DoP qui se trouve sur le bon de livraison et le document d’emballage.</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r w:rsidRPr="00FA5727">
        <w:rPr>
          <w:rFonts w:cs="Arial"/>
          <w:b/>
          <w:szCs w:val="20"/>
          <w:u w:val="single"/>
          <w:lang w:val="en-US"/>
        </w:rPr>
        <w:t>Exécution</w:t>
      </w:r>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Les briques de parement seront toujours prélevées en diagonale de 4 à 5 paquets différents.  Les instructions du fabricant pour la mise en oeuvre,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Les briques de parement seront maçonnées avec un mortier de maçonnerie</w:t>
      </w:r>
      <w:r w:rsidR="00202E8F" w:rsidRPr="007748BA">
        <w:rPr>
          <w:rFonts w:cs="Arial"/>
          <w:szCs w:val="20"/>
          <w:lang w:val="en-US"/>
        </w:rPr>
        <w:t xml:space="preserve"> / </w:t>
      </w:r>
      <w:r w:rsidRPr="007748BA">
        <w:rPr>
          <w:rFonts w:cs="Arial"/>
          <w:szCs w:val="20"/>
          <w:lang w:val="en-US"/>
        </w:rPr>
        <w:t xml:space="preserve">seront maçonnées avec </w:t>
      </w:r>
      <w:r w:rsidR="007748BA" w:rsidRPr="007748BA">
        <w:rPr>
          <w:rFonts w:cs="Arial"/>
          <w:szCs w:val="20"/>
          <w:lang w:val="en-US"/>
        </w:rPr>
        <w:t>un mortier à joints minces</w:t>
      </w:r>
      <w:r w:rsidR="00202E8F" w:rsidRPr="007748BA">
        <w:rPr>
          <w:rFonts w:cs="Arial"/>
          <w:szCs w:val="20"/>
          <w:lang w:val="en-US"/>
        </w:rPr>
        <w:t xml:space="preserve"> / </w:t>
      </w:r>
      <w:r w:rsidR="007748BA" w:rsidRPr="007748BA">
        <w:rPr>
          <w:rFonts w:cs="Arial"/>
          <w:szCs w:val="20"/>
          <w:lang w:val="en-US"/>
        </w:rPr>
        <w:t>seront colllées avec un mortier-colle.</w:t>
      </w:r>
      <w:r w:rsidR="00202E8F" w:rsidRPr="007748BA">
        <w:rPr>
          <w:rFonts w:cs="Arial"/>
          <w:szCs w:val="20"/>
          <w:lang w:val="en-US"/>
        </w:rPr>
        <w:t xml:space="preserve"> </w:t>
      </w:r>
      <w:r w:rsidR="00202E8F" w:rsidRPr="00690FD3">
        <w:rPr>
          <w:rFonts w:cs="Arial"/>
          <w:i/>
          <w:szCs w:val="20"/>
          <w:lang w:val="en-US"/>
        </w:rPr>
        <w:t>(s</w:t>
      </w:r>
      <w:r w:rsidR="007748BA" w:rsidRPr="00690FD3">
        <w:rPr>
          <w:rFonts w:cs="Arial"/>
          <w:i/>
          <w:szCs w:val="20"/>
          <w:lang w:val="en-US"/>
        </w:rPr>
        <w:t>upprimer ce qui ne convient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r w:rsidRPr="00690FD3">
        <w:rPr>
          <w:rFonts w:cs="Arial"/>
          <w:szCs w:val="20"/>
          <w:lang w:val="en-US"/>
        </w:rPr>
        <w:t>L’appareillage suivant a été choisi</w:t>
      </w:r>
      <w:r w:rsidR="00202E8F" w:rsidRPr="00690FD3">
        <w:rPr>
          <w:rFonts w:cs="Arial"/>
          <w:szCs w:val="20"/>
          <w:lang w:val="en-US"/>
        </w:rPr>
        <w:t xml:space="preserve">: </w:t>
      </w:r>
      <w:r w:rsidRPr="00690FD3">
        <w:rPr>
          <w:rFonts w:cs="Arial"/>
          <w:szCs w:val="20"/>
          <w:lang w:val="en-US"/>
        </w:rPr>
        <w:t>appareillage en panneresses,</w:t>
      </w:r>
      <w:r w:rsidR="00202E8F" w:rsidRPr="00690FD3">
        <w:rPr>
          <w:rFonts w:cs="Arial"/>
          <w:szCs w:val="20"/>
          <w:lang w:val="en-US"/>
        </w:rPr>
        <w:t xml:space="preserve"> </w:t>
      </w:r>
      <w:r w:rsidRPr="00690FD3">
        <w:rPr>
          <w:rFonts w:cs="Arial"/>
          <w:szCs w:val="20"/>
          <w:lang w:val="en-US"/>
        </w:rPr>
        <w:t>appareillage en piles</w:t>
      </w:r>
      <w:r w:rsidR="00202E8F" w:rsidRPr="00690FD3">
        <w:rPr>
          <w:rFonts w:cs="Arial"/>
          <w:szCs w:val="20"/>
          <w:lang w:val="en-US"/>
        </w:rPr>
        <w:t xml:space="preserve">, </w:t>
      </w:r>
      <w:r w:rsidRPr="00690FD3">
        <w:rPr>
          <w:rFonts w:cs="Arial"/>
          <w:szCs w:val="20"/>
          <w:lang w:val="en-US"/>
        </w:rPr>
        <w:t>appareillage sauvage</w:t>
      </w:r>
      <w:r w:rsidR="00202E8F" w:rsidRPr="00690FD3">
        <w:rPr>
          <w:rFonts w:cs="Arial"/>
          <w:szCs w:val="20"/>
          <w:lang w:val="en-US"/>
        </w:rPr>
        <w:t xml:space="preserve">, </w:t>
      </w:r>
      <w:r w:rsidRPr="00690FD3">
        <w:rPr>
          <w:rFonts w:cs="Arial"/>
          <w:szCs w:val="20"/>
          <w:lang w:val="en-US"/>
        </w:rPr>
        <w:t xml:space="preserve">appareillage debout, appareillage en bloc, … </w:t>
      </w:r>
      <w:r w:rsidR="00202E8F" w:rsidRPr="00690FD3">
        <w:rPr>
          <w:rFonts w:cs="Arial"/>
          <w:i/>
          <w:szCs w:val="20"/>
          <w:lang w:val="en-US"/>
        </w:rPr>
        <w:t>(s</w:t>
      </w:r>
      <w:r w:rsidRPr="00690FD3">
        <w:rPr>
          <w:rFonts w:cs="Arial"/>
          <w:i/>
          <w:szCs w:val="20"/>
          <w:lang w:val="en-US"/>
        </w:rPr>
        <w:t>upprimer ce qui ne convient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r>
        <w:rPr>
          <w:rFonts w:cs="Arial"/>
          <w:szCs w:val="20"/>
        </w:rPr>
        <w:t>Jan</w:t>
      </w:r>
      <w:r w:rsidR="00A921F8">
        <w:rPr>
          <w:rFonts w:cs="Arial"/>
          <w:szCs w:val="20"/>
        </w:rPr>
        <w:t>vier</w:t>
      </w:r>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r>
        <w:rPr>
          <w:rFonts w:cs="Arial"/>
          <w:szCs w:val="20"/>
        </w:rPr>
        <w:t>Briqueteries</w:t>
      </w:r>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363AB"/>
    <w:rsid w:val="001479CA"/>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5D0A6A"/>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86F40"/>
    <w:rsid w:val="00897611"/>
    <w:rsid w:val="008A33DE"/>
    <w:rsid w:val="009001B6"/>
    <w:rsid w:val="00911203"/>
    <w:rsid w:val="00951E39"/>
    <w:rsid w:val="009563D7"/>
    <w:rsid w:val="009F33B0"/>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C239CD"/>
    <w:rsid w:val="00C41957"/>
    <w:rsid w:val="00C66D78"/>
    <w:rsid w:val="00C71273"/>
    <w:rsid w:val="00C724D4"/>
    <w:rsid w:val="00C91A90"/>
    <w:rsid w:val="00C94AFA"/>
    <w:rsid w:val="00CD579C"/>
    <w:rsid w:val="00D77F24"/>
    <w:rsid w:val="00D87F55"/>
    <w:rsid w:val="00E5273A"/>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8BDA34-C3C1-45C9-A3F0-6B5ECF6A9348}"/>
</file>

<file path=customXml/itemProps2.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742</Words>
  <Characters>4084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3</cp:revision>
  <cp:lastPrinted>2019-03-07T16:01:00Z</cp:lastPrinted>
  <dcterms:created xsi:type="dcterms:W3CDTF">2020-04-30T10:03:00Z</dcterms:created>
  <dcterms:modified xsi:type="dcterms:W3CDTF">2020-05-04T07:50:00Z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