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1F00F629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844C68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650ED7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650ED7">
        <w:rPr>
          <w:rFonts w:asciiTheme="minorHAnsi" w:hAnsiTheme="minorHAnsi" w:cstheme="minorHAnsi"/>
          <w:color w:val="004D74"/>
          <w:sz w:val="28"/>
          <w:szCs w:val="28"/>
        </w:rPr>
        <w:t>BRILJANT ZWART</w:t>
      </w:r>
      <w:r w:rsidR="003746DE">
        <w:rPr>
          <w:rFonts w:asciiTheme="minorHAnsi" w:hAnsiTheme="minorHAnsi" w:cstheme="minorHAnsi"/>
          <w:color w:val="004D74"/>
          <w:sz w:val="28"/>
          <w:szCs w:val="28"/>
        </w:rPr>
        <w:t xml:space="preserve"> IMPRESSION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3A79CAE2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strengpersgevelstenen. De ruwe oppervlaktestructuur wordt door een technisch proces vóór het bakken van de steen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gerealiseerd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0B0A0DC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B04AD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6652231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BE7033">
        <w:rPr>
          <w:rFonts w:cs="Arial"/>
          <w:szCs w:val="20"/>
        </w:rPr>
        <w:t>uniform</w:t>
      </w:r>
    </w:p>
    <w:p w14:paraId="7E3ECFB4" w14:textId="5E1E6B60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50ED7">
        <w:rPr>
          <w:rFonts w:cs="Arial"/>
          <w:szCs w:val="20"/>
        </w:rPr>
        <w:t>zwart</w:t>
      </w:r>
    </w:p>
    <w:p w14:paraId="54AA7122" w14:textId="3489699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650ED7">
        <w:rPr>
          <w:rFonts w:cs="Arial"/>
          <w:szCs w:val="20"/>
        </w:rPr>
        <w:t>uniform zwart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61D1A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2F1A8B"/>
    <w:rsid w:val="00315C4B"/>
    <w:rsid w:val="0032484E"/>
    <w:rsid w:val="00325A04"/>
    <w:rsid w:val="00343EC2"/>
    <w:rsid w:val="003746DE"/>
    <w:rsid w:val="00391FAB"/>
    <w:rsid w:val="00395172"/>
    <w:rsid w:val="00396967"/>
    <w:rsid w:val="003A4A80"/>
    <w:rsid w:val="003D50BE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E207EF"/>
    <w:rsid w:val="00E5273A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5</cp:revision>
  <cp:lastPrinted>2019-03-07T16:01:00Z</cp:lastPrinted>
  <dcterms:created xsi:type="dcterms:W3CDTF">2020-04-24T08:47:00Z</dcterms:created>
  <dcterms:modified xsi:type="dcterms:W3CDTF">2023-02-20T15:01:00Z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